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A4822">
        <w:t>2</w:t>
      </w:r>
      <w:r w:rsidR="00953817">
        <w:t>5</w:t>
      </w:r>
      <w:r w:rsidR="00B909D6">
        <w:t xml:space="preserve"> июня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953817">
        <w:t>8</w:t>
      </w:r>
    </w:p>
    <w:p w:rsidR="00FA4822" w:rsidRDefault="008B59A3" w:rsidP="00F7173F">
      <w:pPr>
        <w:spacing w:before="100" w:beforeAutospacing="1"/>
        <w:jc w:val="center"/>
      </w:pPr>
      <w:r w:rsidRPr="008B59A3">
        <w:t>ИНФОРМАЦИЯ ДЛЯ НАСЕЛЕНИЯ</w:t>
      </w:r>
    </w:p>
    <w:p w:rsidR="008B59A3" w:rsidRPr="0082084B" w:rsidRDefault="008B59A3" w:rsidP="008B59A3">
      <w:pPr>
        <w:jc w:val="center"/>
        <w:rPr>
          <w:b/>
        </w:rPr>
      </w:pPr>
      <w:r w:rsidRPr="0082084B">
        <w:rPr>
          <w:b/>
        </w:rPr>
        <w:t xml:space="preserve">Сроки исковой давности, предусмотренные гражданским законодательством в условиях новой </w:t>
      </w:r>
      <w:proofErr w:type="spellStart"/>
      <w:r w:rsidRPr="0082084B">
        <w:rPr>
          <w:b/>
        </w:rPr>
        <w:t>коронавирусной</w:t>
      </w:r>
      <w:proofErr w:type="spellEnd"/>
      <w:r w:rsidRPr="0082084B">
        <w:rPr>
          <w:b/>
        </w:rPr>
        <w:t xml:space="preserve"> инфекции</w:t>
      </w:r>
    </w:p>
    <w:p w:rsidR="008B59A3" w:rsidRPr="0082084B" w:rsidRDefault="008B59A3" w:rsidP="008B59A3">
      <w:pPr>
        <w:ind w:firstLine="709"/>
        <w:jc w:val="both"/>
      </w:pPr>
    </w:p>
    <w:p w:rsidR="008B59A3" w:rsidRPr="0082084B" w:rsidRDefault="008B59A3" w:rsidP="008B59A3">
      <w:pPr>
        <w:ind w:firstLine="709"/>
        <w:jc w:val="both"/>
      </w:pPr>
      <w:bookmarkStart w:id="0" w:name="_GoBack"/>
      <w:bookmarkEnd w:id="0"/>
      <w:r w:rsidRPr="0082084B">
        <w:t>В соответствии со статьей 193 Гражданского кодекса Российской Федерации, если последний день срока приходится на нерабочий день, то днем окончания срока считается ближайший следующий за ним рабочий день.</w:t>
      </w:r>
    </w:p>
    <w:p w:rsidR="008B59A3" w:rsidRPr="0082084B" w:rsidRDefault="008B59A3" w:rsidP="008B59A3">
      <w:pPr>
        <w:ind w:firstLine="709"/>
        <w:jc w:val="both"/>
      </w:pPr>
      <w:proofErr w:type="gramStart"/>
      <w:r w:rsidRPr="0082084B">
        <w:t xml:space="preserve">Нерабочие дни, объявленные таковыми Указами Президента Российской Федерации от 25 марта 2020 года №206 и от 02 апреля 2020 года №239 относятся к числу мер, установленных в целях обеспечения санитарно-эпидемиологического благополучия населения, направленных на предотвращение распространения новой </w:t>
      </w:r>
      <w:proofErr w:type="spellStart"/>
      <w:r w:rsidRPr="0082084B">
        <w:t>коронавирусной</w:t>
      </w:r>
      <w:proofErr w:type="spellEnd"/>
      <w:r w:rsidRPr="0082084B">
        <w:t xml:space="preserve"> инфекции, и не могут считаться нерабочими днями в смысле, придаваемом этому понятию гражданским законодательством, под которым понимаются выходные и нерабочие праздничные дни</w:t>
      </w:r>
      <w:proofErr w:type="gramEnd"/>
      <w:r w:rsidRPr="0082084B">
        <w:t xml:space="preserve">, </w:t>
      </w:r>
      <w:proofErr w:type="gramStart"/>
      <w:r w:rsidRPr="0082084B">
        <w:t>предусмотренные статьями 111, 112 Трудового кодекса Российской Федерации.</w:t>
      </w:r>
      <w:proofErr w:type="gramEnd"/>
    </w:p>
    <w:p w:rsidR="008B59A3" w:rsidRPr="0082084B" w:rsidRDefault="008B59A3" w:rsidP="008B59A3">
      <w:pPr>
        <w:ind w:firstLine="709"/>
        <w:jc w:val="both"/>
      </w:pPr>
      <w:r w:rsidRPr="0082084B">
        <w:t xml:space="preserve">Таким образом, установленные </w:t>
      </w:r>
      <w:proofErr w:type="spellStart"/>
      <w:r w:rsidRPr="0082084B">
        <w:t>вышеобозначенным</w:t>
      </w:r>
      <w:proofErr w:type="spellEnd"/>
      <w:r w:rsidRPr="0082084B">
        <w:t xml:space="preserve"> Указом Президента РФ нерабочие дни, основанием для переноса срока исковой давности не являются и, соответственно, в случае пропуска срока исковой давности, его восстановление согласно статье 205 Гражданского кодекса Российской Федерации возможно только в судебном порядке.</w:t>
      </w:r>
    </w:p>
    <w:p w:rsidR="008B59A3" w:rsidRPr="0082084B" w:rsidRDefault="008B59A3" w:rsidP="008B59A3">
      <w:pPr>
        <w:ind w:firstLine="709"/>
        <w:jc w:val="both"/>
      </w:pPr>
    </w:p>
    <w:p w:rsidR="008B59A3" w:rsidRPr="0082084B" w:rsidRDefault="008B59A3" w:rsidP="008B59A3">
      <w:pPr>
        <w:jc w:val="both"/>
      </w:pPr>
      <w:r w:rsidRPr="0082084B">
        <w:t>Помощник прокурора                                                                              Т.В. Булич</w:t>
      </w:r>
    </w:p>
    <w:p w:rsidR="00C45DC7" w:rsidRDefault="00C45DC7" w:rsidP="0054765E">
      <w:pPr>
        <w:jc w:val="center"/>
      </w:pPr>
    </w:p>
    <w:p w:rsidR="0054765E" w:rsidRPr="00C45DC7" w:rsidRDefault="0054765E" w:rsidP="0054765E">
      <w:pPr>
        <w:jc w:val="center"/>
        <w:rPr>
          <w:b/>
        </w:rPr>
      </w:pPr>
      <w:r w:rsidRPr="00C45DC7">
        <w:rPr>
          <w:b/>
        </w:rPr>
        <w:t xml:space="preserve">Разъяснение ответственности за </w:t>
      </w:r>
      <w:proofErr w:type="spellStart"/>
      <w:r w:rsidRPr="00C45DC7">
        <w:rPr>
          <w:b/>
        </w:rPr>
        <w:t>безучётное</w:t>
      </w:r>
      <w:proofErr w:type="spellEnd"/>
      <w:r w:rsidRPr="00C45DC7">
        <w:rPr>
          <w:b/>
        </w:rPr>
        <w:t xml:space="preserve"> потребление электрической энергии</w:t>
      </w:r>
    </w:p>
    <w:p w:rsidR="0054765E" w:rsidRPr="0082084B" w:rsidRDefault="0054765E" w:rsidP="0054765E">
      <w:pPr>
        <w:ind w:firstLine="709"/>
        <w:jc w:val="both"/>
      </w:pPr>
    </w:p>
    <w:p w:rsidR="0054765E" w:rsidRPr="0082084B" w:rsidRDefault="0054765E" w:rsidP="0054765E">
      <w:pPr>
        <w:ind w:firstLine="709"/>
        <w:jc w:val="both"/>
      </w:pPr>
      <w:r w:rsidRPr="0082084B">
        <w:t xml:space="preserve">В </w:t>
      </w:r>
      <w:proofErr w:type="spellStart"/>
      <w:r w:rsidRPr="0082084B">
        <w:t>Канскую</w:t>
      </w:r>
      <w:proofErr w:type="spellEnd"/>
      <w:r w:rsidRPr="0082084B">
        <w:t xml:space="preserve"> межрайонную прокуратуру поступали и продолжают поступать обращения по фактам выявления фактов </w:t>
      </w:r>
      <w:proofErr w:type="spellStart"/>
      <w:r w:rsidRPr="0082084B">
        <w:t>безучетного</w:t>
      </w:r>
      <w:proofErr w:type="spellEnd"/>
      <w:r w:rsidRPr="0082084B">
        <w:t xml:space="preserve"> потребления гражданами электрической энергии.</w:t>
      </w:r>
    </w:p>
    <w:p w:rsidR="0054765E" w:rsidRPr="0082084B" w:rsidRDefault="0054765E" w:rsidP="0054765E">
      <w:pPr>
        <w:ind w:firstLine="709"/>
        <w:jc w:val="both"/>
      </w:pPr>
      <w:proofErr w:type="gramStart"/>
      <w:r w:rsidRPr="0082084B">
        <w:t>В соответствии с п.п. 117, 118 Правил предоставления коммунальных услуг собственникам и пользователям помещений в многоквартирных домах и жилых домов», утв. постановлением Правительства от 06.05.2011 № 354, исполнитель имеет право ограничить или приостановить предоставление электроэнергии при наличии у потребителя задолженности в сумме, превышающей сумму 2 месячных размеров платы за услугу, уведомив об этом потребителя в письменной форме за 30 дней</w:t>
      </w:r>
      <w:proofErr w:type="gramEnd"/>
      <w:r w:rsidRPr="0082084B">
        <w:t xml:space="preserve"> до даты отключения.</w:t>
      </w:r>
    </w:p>
    <w:p w:rsidR="0054765E" w:rsidRPr="0082084B" w:rsidRDefault="0054765E" w:rsidP="0054765E">
      <w:pPr>
        <w:ind w:firstLine="709"/>
        <w:jc w:val="both"/>
      </w:pPr>
      <w:r w:rsidRPr="0082084B">
        <w:t>Согласно п. 137 Основных положений функционирования розничных рынков электрической энергии, утв. постановлением Правительства от 04.05.2012 № 442, приборы учета должны быть допущенными в эксплуатацию в установленном порядке, иметь неповрежденные контрольные пломбы и (или) знаки визуального контроля.</w:t>
      </w:r>
    </w:p>
    <w:p w:rsidR="0054765E" w:rsidRPr="0082084B" w:rsidRDefault="0054765E" w:rsidP="0054765E">
      <w:pPr>
        <w:ind w:firstLine="709"/>
        <w:jc w:val="both"/>
      </w:pPr>
      <w:r w:rsidRPr="0082084B">
        <w:t>Обязанность по обеспечению эксплуатации установленного и допущенного в эксплуатацию прибора учета, сохранности и целостности прибора учета, а также пломб и (или) знаков визуального контроля, снятию и хранению его показаний, своевременной замене возлагается на собственника такого прибора учета.</w:t>
      </w:r>
    </w:p>
    <w:p w:rsidR="0054765E" w:rsidRPr="0082084B" w:rsidRDefault="0054765E" w:rsidP="0054765E">
      <w:pPr>
        <w:ind w:firstLine="709"/>
        <w:jc w:val="both"/>
      </w:pPr>
      <w:r w:rsidRPr="0082084B">
        <w:t>При этом</w:t>
      </w:r>
      <w:proofErr w:type="gramStart"/>
      <w:r w:rsidRPr="0082084B">
        <w:t>,</w:t>
      </w:r>
      <w:proofErr w:type="gramEnd"/>
      <w:r w:rsidRPr="0082084B">
        <w:t xml:space="preserve"> самовольное подключение к электрическим сетям, а равно самовольное (</w:t>
      </w:r>
      <w:proofErr w:type="spellStart"/>
      <w:r w:rsidRPr="0082084B">
        <w:t>безучетное</w:t>
      </w:r>
      <w:proofErr w:type="spellEnd"/>
      <w:r w:rsidRPr="0082084B">
        <w:t xml:space="preserve">) использование электрической энергии, если эти действия не содержат уголовно-наказуемого деяния, образует состав административного правонарушения, предусмотренного ч. 1 ст. 7.19 </w:t>
      </w:r>
      <w:proofErr w:type="spellStart"/>
      <w:r w:rsidRPr="0082084B">
        <w:t>КоАП</w:t>
      </w:r>
      <w:proofErr w:type="spellEnd"/>
      <w:r w:rsidRPr="0082084B">
        <w:t xml:space="preserve"> РФ.</w:t>
      </w:r>
    </w:p>
    <w:p w:rsidR="0054765E" w:rsidRPr="0082084B" w:rsidRDefault="0054765E" w:rsidP="0054765E">
      <w:pPr>
        <w:ind w:firstLine="709"/>
        <w:jc w:val="both"/>
      </w:pPr>
      <w:r w:rsidRPr="0082084B">
        <w:t xml:space="preserve">Таким образом, основанием для привлечения гражданина к административной ответственности является использование гражданином электросчетчика, находящегося в </w:t>
      </w:r>
      <w:r w:rsidRPr="0082084B">
        <w:lastRenderedPageBreak/>
        <w:t>неисправном состоянии, независимо от того, осуществлялись ли гражданином платежи за электрическую энергию.</w:t>
      </w:r>
    </w:p>
    <w:p w:rsidR="0054765E" w:rsidRPr="0082084B" w:rsidRDefault="0054765E" w:rsidP="0054765E">
      <w:pPr>
        <w:ind w:firstLine="709"/>
        <w:jc w:val="both"/>
      </w:pPr>
      <w:r w:rsidRPr="0082084B">
        <w:t xml:space="preserve">В случае если сетевой компанией будет выявлен факт отсутствия пломб, отсутствия целостности пломб или иных знаков, то данной организацией составляется акт о неучтенном потреблении электрической энергии и не позднее 3 рабочих дней </w:t>
      </w:r>
      <w:proofErr w:type="gramStart"/>
      <w:r w:rsidRPr="0082084B">
        <w:t>с даты</w:t>
      </w:r>
      <w:proofErr w:type="gramEnd"/>
      <w:r w:rsidRPr="0082084B">
        <w:t xml:space="preserve"> его составления передается в адрес </w:t>
      </w:r>
      <w:proofErr w:type="spellStart"/>
      <w:r w:rsidRPr="0082084B">
        <w:t>энергоснабжающей</w:t>
      </w:r>
      <w:proofErr w:type="spellEnd"/>
      <w:r w:rsidRPr="0082084B">
        <w:t xml:space="preserve"> организации. Копия акта вручается абоненту.</w:t>
      </w:r>
    </w:p>
    <w:p w:rsidR="0054765E" w:rsidRPr="0082084B" w:rsidRDefault="0054765E" w:rsidP="0054765E">
      <w:pPr>
        <w:ind w:firstLine="709"/>
        <w:jc w:val="both"/>
      </w:pPr>
      <w:r w:rsidRPr="0082084B">
        <w:t>Поэтому собственникам жилых помещений необходимо регулярно проверять состояние приборов учета, установить факт введения его в эксплуатацию, а также проверить состояние пломб и иных знаков визуального контроля. В случае обнаружения повреждений, несоответствия указанным выше требованиям, обратиться в сетевую компанию «МРСК Сибири», для проведения обследования.</w:t>
      </w:r>
    </w:p>
    <w:p w:rsidR="0054765E" w:rsidRPr="0082084B" w:rsidRDefault="0054765E" w:rsidP="00C45DC7">
      <w:pPr>
        <w:jc w:val="both"/>
      </w:pPr>
    </w:p>
    <w:p w:rsidR="0054765E" w:rsidRPr="0082084B" w:rsidRDefault="0054765E" w:rsidP="0054765E">
      <w:pPr>
        <w:jc w:val="both"/>
      </w:pPr>
      <w:r w:rsidRPr="0082084B">
        <w:t>Помощник прокурора                                                                             А.В. Никитин</w:t>
      </w:r>
    </w:p>
    <w:p w:rsidR="00C45DC7" w:rsidRDefault="00C45DC7" w:rsidP="00CA352F">
      <w:pPr>
        <w:jc w:val="center"/>
        <w:rPr>
          <w:b/>
        </w:rPr>
      </w:pPr>
    </w:p>
    <w:p w:rsidR="00C45DC7" w:rsidRDefault="00CA352F" w:rsidP="00CA352F">
      <w:pPr>
        <w:jc w:val="center"/>
        <w:rPr>
          <w:b/>
        </w:rPr>
      </w:pPr>
      <w:r w:rsidRPr="0082084B">
        <w:rPr>
          <w:b/>
        </w:rPr>
        <w:t xml:space="preserve">По мерам прокурорского реагирования приняты меры к учету </w:t>
      </w:r>
    </w:p>
    <w:p w:rsidR="00CA352F" w:rsidRPr="0082084B" w:rsidRDefault="00CA352F" w:rsidP="00CA352F">
      <w:pPr>
        <w:jc w:val="center"/>
        <w:rPr>
          <w:b/>
        </w:rPr>
      </w:pPr>
      <w:r w:rsidRPr="0082084B">
        <w:rPr>
          <w:b/>
        </w:rPr>
        <w:t>и содержанию воинских захоронений</w:t>
      </w:r>
    </w:p>
    <w:p w:rsidR="00CA352F" w:rsidRPr="0082084B" w:rsidRDefault="00CA352F" w:rsidP="00CA352F">
      <w:pPr>
        <w:ind w:firstLine="708"/>
        <w:jc w:val="center"/>
        <w:rPr>
          <w:b/>
        </w:rPr>
      </w:pPr>
    </w:p>
    <w:p w:rsidR="00CA352F" w:rsidRPr="0082084B" w:rsidRDefault="00CA352F" w:rsidP="00CA352F">
      <w:pPr>
        <w:ind w:firstLine="709"/>
        <w:jc w:val="both"/>
      </w:pPr>
      <w:r w:rsidRPr="0082084B">
        <w:t xml:space="preserve">Статьей 5 Закона РФ от 14.01.1993 № 4292-1 «Об увековечении памяти погибших при защите Отечества» ответственность за содержание воинских захоронений на территории Российской Федерации возложена на органы местного самоуправления. </w:t>
      </w:r>
    </w:p>
    <w:p w:rsidR="00CA352F" w:rsidRPr="0082084B" w:rsidRDefault="00CA352F" w:rsidP="00CA352F">
      <w:pPr>
        <w:ind w:firstLine="709"/>
        <w:jc w:val="both"/>
      </w:pPr>
      <w:r w:rsidRPr="0082084B">
        <w:t xml:space="preserve">Этой же нормой на органы местного самоуправления возложены обязанности по паспортизации воинских захоронений, их государственному учету, а также по установке соответствующих мемориальных знаков. </w:t>
      </w:r>
    </w:p>
    <w:p w:rsidR="00CA352F" w:rsidRPr="0082084B" w:rsidRDefault="00CA352F" w:rsidP="00CA352F">
      <w:pPr>
        <w:ind w:firstLine="709"/>
        <w:jc w:val="both"/>
      </w:pPr>
      <w:r w:rsidRPr="0082084B">
        <w:t>Статьей 11 названного закона на органы местного самоуправления возложены обязанности по осуществлению мероприятий по содержанию в порядке и благоустройству воинских захоронений, которые находятся на их территориях.</w:t>
      </w:r>
    </w:p>
    <w:p w:rsidR="00CA352F" w:rsidRPr="0082084B" w:rsidRDefault="00CA352F" w:rsidP="00CA352F">
      <w:pPr>
        <w:ind w:firstLine="709"/>
        <w:jc w:val="both"/>
      </w:pPr>
      <w:r w:rsidRPr="0082084B">
        <w:t xml:space="preserve">Проведенная Канской межрайонной прокуратурой проверка показала, что приведённые требования закона администрациями </w:t>
      </w:r>
      <w:proofErr w:type="gramStart"/>
      <w:r w:rsidRPr="0082084B">
        <w:t>г</w:t>
      </w:r>
      <w:proofErr w:type="gramEnd"/>
      <w:r w:rsidRPr="0082084B">
        <w:t xml:space="preserve">. Канска, а также </w:t>
      </w:r>
      <w:proofErr w:type="spellStart"/>
      <w:r w:rsidRPr="0082084B">
        <w:t>Астафьевского</w:t>
      </w:r>
      <w:proofErr w:type="spellEnd"/>
      <w:r w:rsidRPr="0082084B">
        <w:t xml:space="preserve">, </w:t>
      </w:r>
      <w:proofErr w:type="spellStart"/>
      <w:r w:rsidRPr="0082084B">
        <w:t>Браженского</w:t>
      </w:r>
      <w:proofErr w:type="spellEnd"/>
      <w:r w:rsidRPr="0082084B">
        <w:t xml:space="preserve"> и Терского сельсоветов Канского района исполняются не в полном объеме, не осуществляется государственный учет воинских захоронений, отсутствуют их паспорта, не осуществляются мероприятия по их содержанию и благоустройству.</w:t>
      </w:r>
    </w:p>
    <w:p w:rsidR="00CA352F" w:rsidRPr="0082084B" w:rsidRDefault="00CA352F" w:rsidP="00C45DC7">
      <w:pPr>
        <w:ind w:firstLine="709"/>
        <w:jc w:val="both"/>
      </w:pPr>
      <w:r w:rsidRPr="0082084B">
        <w:t>По итогам проверки главам названных муниципальных образований внесены представления, которые рассмотрены и удовлетворены, три должностных лица привлечены к дисциплинарной ответственности. Воинские захоронения приняты к учету, на них заведены паспорта, проведены мероприятия по их содержанию и благоустройству.</w:t>
      </w:r>
    </w:p>
    <w:p w:rsidR="00CA352F" w:rsidRPr="0082084B" w:rsidRDefault="00CA352F" w:rsidP="00CA352F">
      <w:pPr>
        <w:autoSpaceDE w:val="0"/>
        <w:autoSpaceDN w:val="0"/>
        <w:adjustRightInd w:val="0"/>
        <w:spacing w:line="240" w:lineRule="exact"/>
        <w:jc w:val="both"/>
      </w:pPr>
    </w:p>
    <w:p w:rsidR="00CA352F" w:rsidRPr="0082084B" w:rsidRDefault="00CA352F" w:rsidP="00CA352F">
      <w:pPr>
        <w:autoSpaceDE w:val="0"/>
        <w:autoSpaceDN w:val="0"/>
        <w:adjustRightInd w:val="0"/>
        <w:spacing w:line="240" w:lineRule="exact"/>
        <w:jc w:val="both"/>
      </w:pPr>
      <w:r w:rsidRPr="0082084B">
        <w:t xml:space="preserve">Помощник прокурора </w:t>
      </w:r>
    </w:p>
    <w:p w:rsidR="00CA352F" w:rsidRPr="0082084B" w:rsidRDefault="00CA352F" w:rsidP="00CA352F">
      <w:pPr>
        <w:autoSpaceDE w:val="0"/>
        <w:autoSpaceDN w:val="0"/>
        <w:adjustRightInd w:val="0"/>
        <w:spacing w:line="240" w:lineRule="exact"/>
        <w:jc w:val="both"/>
      </w:pPr>
      <w:r w:rsidRPr="0082084B">
        <w:t xml:space="preserve">юрист 1 класса                                                                                      И.А. Хохлов </w:t>
      </w:r>
    </w:p>
    <w:p w:rsidR="00CA352F" w:rsidRPr="002C154C" w:rsidRDefault="00CA352F" w:rsidP="002C154C">
      <w:pPr>
        <w:spacing w:line="240" w:lineRule="exact"/>
        <w:ind w:firstLine="708"/>
        <w:jc w:val="both"/>
      </w:pPr>
      <w:r w:rsidRPr="0082084B">
        <w:t xml:space="preserve"> </w:t>
      </w:r>
    </w:p>
    <w:p w:rsidR="00C66678" w:rsidRPr="0082084B" w:rsidRDefault="00C66678" w:rsidP="00C66678">
      <w:pPr>
        <w:ind w:firstLine="708"/>
        <w:jc w:val="center"/>
        <w:rPr>
          <w:b/>
        </w:rPr>
      </w:pPr>
      <w:r w:rsidRPr="0082084B">
        <w:rPr>
          <w:rFonts w:eastAsia="Calibri"/>
          <w:b/>
        </w:rPr>
        <w:t>Только по требованию прокурора сведения о лице, уволенном в связи с утратой доверия за совершение коррупционного правонарушения, направлены в реестр лиц, уволенных в связи с утратой доверия</w:t>
      </w:r>
    </w:p>
    <w:p w:rsidR="00C66678" w:rsidRPr="0082084B" w:rsidRDefault="00C66678" w:rsidP="00C66678">
      <w:pPr>
        <w:ind w:firstLine="708"/>
        <w:jc w:val="center"/>
        <w:rPr>
          <w:b/>
        </w:rPr>
      </w:pP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 xml:space="preserve">Так, в ноябре 2019 года решением </w:t>
      </w:r>
      <w:proofErr w:type="spellStart"/>
      <w:r w:rsidRPr="0082084B">
        <w:t>Филимоновского</w:t>
      </w:r>
      <w:proofErr w:type="spellEnd"/>
      <w:r w:rsidRPr="0082084B">
        <w:t xml:space="preserve"> сельского Совета депутатов за совершение коррупционного правонарушения досрочно прекращены полномочия депутата В. в связи с утратой доверия.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 xml:space="preserve">В связи с чем, на основании действующего законодательства должностное лицо органа местного самоуправления было обязано в течение 10 рабочих дней направить соответствующую информацию об уволенном лице </w:t>
      </w:r>
      <w:proofErr w:type="gramStart"/>
      <w:r w:rsidRPr="0082084B">
        <w:t>в</w:t>
      </w:r>
      <w:proofErr w:type="gramEnd"/>
      <w:r w:rsidRPr="0082084B">
        <w:t xml:space="preserve"> </w:t>
      </w:r>
      <w:proofErr w:type="gramStart"/>
      <w:r w:rsidRPr="0082084B">
        <w:t>уполномоченный</w:t>
      </w:r>
      <w:proofErr w:type="gramEnd"/>
      <w:r w:rsidRPr="0082084B">
        <w:t xml:space="preserve"> орган для включение такого лица в реестр лиц, уволенных в связи с утратой доверия.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lastRenderedPageBreak/>
        <w:t xml:space="preserve">Вместе с тем, на момент проверки в мае 2020 года </w:t>
      </w:r>
      <w:proofErr w:type="spellStart"/>
      <w:r w:rsidRPr="0082084B">
        <w:t>Филимовским</w:t>
      </w:r>
      <w:proofErr w:type="spellEnd"/>
      <w:r w:rsidRPr="0082084B">
        <w:t xml:space="preserve"> сельским Советом депутатов информация и документы, необходимые для включения в реестр лиц, уволенных в связи с утратой доверия, депутата В., в уполномоченный орган направлены не были. 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 xml:space="preserve">Кроме того, в нарушение положений законодательства о противодействии </w:t>
      </w:r>
      <w:proofErr w:type="spellStart"/>
      <w:r w:rsidRPr="0082084B">
        <w:t>коруппции</w:t>
      </w:r>
      <w:proofErr w:type="spellEnd"/>
      <w:r w:rsidRPr="0082084B">
        <w:t xml:space="preserve"> </w:t>
      </w:r>
      <w:proofErr w:type="spellStart"/>
      <w:r w:rsidRPr="0082084B">
        <w:t>Филимоновским</w:t>
      </w:r>
      <w:proofErr w:type="spellEnd"/>
      <w:r w:rsidRPr="0082084B">
        <w:t xml:space="preserve"> сельским Советом депутатов не было определено должностное лицо, ответственное за направление таких сведений.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>Все вышеуказанное приводило к тому, что в течение длительного времени с момента увольнения лица в связи с утратой доверия сведения о нем в реестре лиц, уволенных с утратой доверия, отсутствовали, чт</w:t>
      </w:r>
      <w:r w:rsidRPr="0082084B">
        <w:rPr>
          <w:rFonts w:eastAsia="BatangChe"/>
        </w:rPr>
        <w:t>о свидетельствовало о несоблюдении правовых и организационных основ предупреждения коррупции и борьбы с ней.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 xml:space="preserve">С целью исключения факта нарушения закона прокурором в адрес председателя </w:t>
      </w:r>
      <w:proofErr w:type="spellStart"/>
      <w:r w:rsidRPr="0082084B">
        <w:t>Филимоновского</w:t>
      </w:r>
      <w:proofErr w:type="spellEnd"/>
      <w:r w:rsidRPr="0082084B">
        <w:t xml:space="preserve"> сельского Совета депутатов внесено представление с требованием о направлении необходимых сведений об уволенном лице в уполномоченный орган, а также определением должностного лица, ответственного за их направление.</w:t>
      </w:r>
    </w:p>
    <w:p w:rsidR="00C66678" w:rsidRPr="0082084B" w:rsidRDefault="00C66678" w:rsidP="00C66678">
      <w:pPr>
        <w:autoSpaceDE w:val="0"/>
        <w:autoSpaceDN w:val="0"/>
        <w:adjustRightInd w:val="0"/>
        <w:ind w:firstLine="709"/>
        <w:jc w:val="both"/>
      </w:pPr>
      <w:r w:rsidRPr="0082084B">
        <w:t>Прокуратурой на постоянной основе осуществляется работа по предотвращению и исключению фактов нарушения законодательства о противодействии коррупции.</w:t>
      </w:r>
    </w:p>
    <w:p w:rsidR="00C66678" w:rsidRPr="0082084B" w:rsidRDefault="00C66678" w:rsidP="00C66678">
      <w:pPr>
        <w:autoSpaceDE w:val="0"/>
        <w:autoSpaceDN w:val="0"/>
        <w:adjustRightInd w:val="0"/>
        <w:spacing w:line="240" w:lineRule="exact"/>
        <w:jc w:val="both"/>
      </w:pPr>
    </w:p>
    <w:p w:rsidR="00C66678" w:rsidRPr="0082084B" w:rsidRDefault="00C66678" w:rsidP="00C66678">
      <w:pPr>
        <w:autoSpaceDE w:val="0"/>
        <w:autoSpaceDN w:val="0"/>
        <w:adjustRightInd w:val="0"/>
        <w:spacing w:line="240" w:lineRule="exact"/>
        <w:jc w:val="both"/>
      </w:pPr>
      <w:r w:rsidRPr="0082084B">
        <w:t xml:space="preserve">Помощник прокурора </w:t>
      </w:r>
    </w:p>
    <w:p w:rsidR="00C66678" w:rsidRPr="0082084B" w:rsidRDefault="00C66678" w:rsidP="002C154C">
      <w:pPr>
        <w:autoSpaceDE w:val="0"/>
        <w:autoSpaceDN w:val="0"/>
        <w:adjustRightInd w:val="0"/>
        <w:spacing w:line="240" w:lineRule="exact"/>
        <w:jc w:val="both"/>
      </w:pPr>
      <w:r w:rsidRPr="0082084B">
        <w:t xml:space="preserve">юрист 1 класса                                                                                    И.С. </w:t>
      </w:r>
      <w:proofErr w:type="spellStart"/>
      <w:r w:rsidRPr="0082084B">
        <w:t>Савчина</w:t>
      </w:r>
      <w:proofErr w:type="spellEnd"/>
      <w:r w:rsidRPr="0082084B">
        <w:t xml:space="preserve"> </w:t>
      </w:r>
    </w:p>
    <w:p w:rsidR="00C66678" w:rsidRPr="0082084B" w:rsidRDefault="00C66678" w:rsidP="00C66678">
      <w:pPr>
        <w:spacing w:line="240" w:lineRule="exact"/>
        <w:jc w:val="center"/>
        <w:rPr>
          <w:b/>
        </w:rPr>
      </w:pPr>
    </w:p>
    <w:p w:rsidR="00F62F49" w:rsidRPr="0082084B" w:rsidRDefault="00F62F49" w:rsidP="00F62F49">
      <w:pPr>
        <w:ind w:firstLine="708"/>
        <w:jc w:val="center"/>
        <w:rPr>
          <w:b/>
        </w:rPr>
      </w:pPr>
      <w:r w:rsidRPr="0082084B">
        <w:rPr>
          <w:rFonts w:eastAsia="Calibri"/>
          <w:b/>
        </w:rPr>
        <w:t>Мерами прокурорского реагирования пресечены нарушения прав несовершенно</w:t>
      </w:r>
      <w:r w:rsidR="00F7173F">
        <w:rPr>
          <w:rFonts w:eastAsia="Calibri"/>
          <w:b/>
        </w:rPr>
        <w:t xml:space="preserve"> </w:t>
      </w:r>
      <w:r w:rsidRPr="0082084B">
        <w:rPr>
          <w:rFonts w:eastAsia="Calibri"/>
          <w:b/>
        </w:rPr>
        <w:t>летних на образование в период нахождения в учреждении социального обслуживания</w:t>
      </w:r>
    </w:p>
    <w:p w:rsidR="00F62F49" w:rsidRPr="0082084B" w:rsidRDefault="00F62F49" w:rsidP="00F7173F">
      <w:pPr>
        <w:rPr>
          <w:b/>
        </w:rPr>
      </w:pPr>
    </w:p>
    <w:p w:rsidR="00F62F49" w:rsidRPr="0082084B" w:rsidRDefault="00F62F49" w:rsidP="00F62F49">
      <w:pPr>
        <w:ind w:firstLine="709"/>
        <w:jc w:val="both"/>
      </w:pPr>
      <w:r w:rsidRPr="0082084B">
        <w:t xml:space="preserve">Канской межрайонной прокуратурой по итогам проверки КГБУ </w:t>
      </w:r>
      <w:proofErr w:type="gramStart"/>
      <w:r w:rsidRPr="0082084B">
        <w:t>СО</w:t>
      </w:r>
      <w:proofErr w:type="gramEnd"/>
      <w:r w:rsidRPr="0082084B">
        <w:t xml:space="preserve"> «Центр семьи «Канский» выявлены нарушения прав несовершеннолетних на получение общедоступного и бесплатного образования.</w:t>
      </w:r>
    </w:p>
    <w:p w:rsidR="00F62F49" w:rsidRPr="0082084B" w:rsidRDefault="00F62F49" w:rsidP="00F62F49">
      <w:pPr>
        <w:ind w:firstLine="709"/>
        <w:jc w:val="both"/>
      </w:pPr>
      <w:r w:rsidRPr="0082084B">
        <w:t xml:space="preserve">В специализированные учреждения для несовершеннолетних, к которым относится КГБУ </w:t>
      </w:r>
      <w:proofErr w:type="gramStart"/>
      <w:r w:rsidRPr="0082084B">
        <w:t>СО</w:t>
      </w:r>
      <w:proofErr w:type="gramEnd"/>
      <w:r w:rsidRPr="0082084B">
        <w:t xml:space="preserve"> «Центр семьи «Канский», помещаются несовершеннолетние, оказавшиеся в трудной жизненной ситуации и нуждающиеся в социальной помощи и (или) реабилитации. Несовершеннолетние обслуживаются в указанных учреждениях в течение времени, необходимого для оказания им социальной помощи и (или) их социальной реабилитации.</w:t>
      </w:r>
    </w:p>
    <w:p w:rsidR="00F62F49" w:rsidRPr="0082084B" w:rsidRDefault="00F62F49" w:rsidP="00F62F49">
      <w:pPr>
        <w:ind w:firstLine="709"/>
        <w:jc w:val="both"/>
      </w:pPr>
      <w:r w:rsidRPr="0082084B">
        <w:t xml:space="preserve">Установлено, что во время помещения и нахождения несовершеннолетних в учреждении не во всех случаях должностными лицами учреждения принимались меры по организации образовательного процесса данных несовершеннолетних. </w:t>
      </w:r>
    </w:p>
    <w:p w:rsidR="00F62F49" w:rsidRPr="0082084B" w:rsidRDefault="00F62F49" w:rsidP="00F62F49">
      <w:pPr>
        <w:ind w:firstLine="709"/>
        <w:jc w:val="both"/>
      </w:pPr>
      <w:r w:rsidRPr="0082084B">
        <w:t>Так, несовершеннолетний, помещенный в Центр семьи в связи с нахождением в социально опасном положении, не посещал образовательную организацию, так как учреждением не организована его доставка к месту обучения, дистанционное обучение несовершеннолетнего также не было организовано в течение более двух месяцев.</w:t>
      </w:r>
    </w:p>
    <w:p w:rsidR="00F62F49" w:rsidRPr="0082084B" w:rsidRDefault="00F62F49" w:rsidP="00F62F49">
      <w:pPr>
        <w:ind w:firstLine="709"/>
        <w:jc w:val="both"/>
      </w:pPr>
      <w:r w:rsidRPr="0082084B">
        <w:t xml:space="preserve">Таким образом, КГБУ </w:t>
      </w:r>
      <w:proofErr w:type="gramStart"/>
      <w:r w:rsidRPr="0082084B">
        <w:t>СО</w:t>
      </w:r>
      <w:proofErr w:type="gramEnd"/>
      <w:r w:rsidRPr="0082084B">
        <w:t xml:space="preserve"> «Центр семьи «Канский» незаконно ограничило право несовершеннолетнего на получение общедоступного образования.</w:t>
      </w:r>
    </w:p>
    <w:p w:rsidR="00F62F49" w:rsidRPr="0082084B" w:rsidRDefault="00F62F49" w:rsidP="00F62F49">
      <w:pPr>
        <w:autoSpaceDE w:val="0"/>
        <w:autoSpaceDN w:val="0"/>
        <w:adjustRightInd w:val="0"/>
        <w:ind w:firstLine="709"/>
        <w:jc w:val="both"/>
      </w:pPr>
      <w:proofErr w:type="spellStart"/>
      <w:r w:rsidRPr="0082084B">
        <w:t>Канским</w:t>
      </w:r>
      <w:proofErr w:type="spellEnd"/>
      <w:r w:rsidRPr="0082084B">
        <w:t xml:space="preserve"> межрайонным прокурором по выявленным нарушениям закона в адрес директора учреждения внесено представление, которое рассмотрено и удовлетворено, учреждением приняты меры к утверждению порядка своевременного получения образования помещенных в Центр семьи несовершеннолетних.</w:t>
      </w:r>
    </w:p>
    <w:p w:rsidR="00F62F49" w:rsidRPr="0082084B" w:rsidRDefault="00F62F49" w:rsidP="00F62F49">
      <w:pPr>
        <w:autoSpaceDE w:val="0"/>
        <w:autoSpaceDN w:val="0"/>
        <w:adjustRightInd w:val="0"/>
        <w:spacing w:line="240" w:lineRule="exact"/>
        <w:jc w:val="both"/>
      </w:pPr>
    </w:p>
    <w:p w:rsidR="002C154C" w:rsidRDefault="00F62F49" w:rsidP="002C154C">
      <w:pPr>
        <w:autoSpaceDE w:val="0"/>
        <w:autoSpaceDN w:val="0"/>
        <w:adjustRightInd w:val="0"/>
        <w:spacing w:line="240" w:lineRule="exact"/>
        <w:jc w:val="both"/>
      </w:pPr>
      <w:r w:rsidRPr="0082084B">
        <w:t xml:space="preserve">Помощник прокурора                                                                         Е.А. </w:t>
      </w:r>
      <w:proofErr w:type="spellStart"/>
      <w:r w:rsidRPr="0082084B">
        <w:t>Шикина</w:t>
      </w:r>
      <w:proofErr w:type="spellEnd"/>
      <w:r w:rsidRPr="0082084B">
        <w:t xml:space="preserve"> </w:t>
      </w:r>
    </w:p>
    <w:p w:rsidR="00F7173F" w:rsidRDefault="00F7173F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71" w:rsidRDefault="00435771" w:rsidP="00D6769D">
      <w:r>
        <w:separator/>
      </w:r>
    </w:p>
  </w:endnote>
  <w:endnote w:type="continuationSeparator" w:id="0">
    <w:p w:rsidR="00435771" w:rsidRDefault="00435771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F41D6F" w:rsidP="00E5308E">
    <w:pPr>
      <w:pStyle w:val="a3"/>
      <w:jc w:val="right"/>
    </w:pPr>
    <w:fldSimple w:instr=" PAGE   \* MERGEFORMAT ">
      <w:r w:rsidR="00F7173F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71" w:rsidRDefault="00435771" w:rsidP="00D6769D">
      <w:r>
        <w:separator/>
      </w:r>
    </w:p>
  </w:footnote>
  <w:footnote w:type="continuationSeparator" w:id="0">
    <w:p w:rsidR="00435771" w:rsidRDefault="00435771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4015C"/>
    <w:multiLevelType w:val="hybridMultilevel"/>
    <w:tmpl w:val="CE04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26"/>
  </w:num>
  <w:num w:numId="8">
    <w:abstractNumId w:val="8"/>
  </w:num>
  <w:num w:numId="9">
    <w:abstractNumId w:val="15"/>
  </w:num>
  <w:num w:numId="10">
    <w:abstractNumId w:val="24"/>
  </w:num>
  <w:num w:numId="11">
    <w:abstractNumId w:val="21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  <w:num w:numId="16">
    <w:abstractNumId w:val="28"/>
  </w:num>
  <w:num w:numId="17">
    <w:abstractNumId w:val="16"/>
  </w:num>
  <w:num w:numId="18">
    <w:abstractNumId w:val="7"/>
  </w:num>
  <w:num w:numId="19">
    <w:abstractNumId w:val="27"/>
  </w:num>
  <w:num w:numId="20">
    <w:abstractNumId w:val="22"/>
  </w:num>
  <w:num w:numId="21">
    <w:abstractNumId w:val="29"/>
  </w:num>
  <w:num w:numId="22">
    <w:abstractNumId w:val="20"/>
  </w:num>
  <w:num w:numId="23">
    <w:abstractNumId w:val="1"/>
  </w:num>
  <w:num w:numId="24">
    <w:abstractNumId w:val="19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  <w:num w:numId="29">
    <w:abstractNumId w:val="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7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2020-06-11T01:24:00Z</cp:lastPrinted>
  <dcterms:created xsi:type="dcterms:W3CDTF">2015-02-24T04:33:00Z</dcterms:created>
  <dcterms:modified xsi:type="dcterms:W3CDTF">2020-06-23T08:05:00Z</dcterms:modified>
</cp:coreProperties>
</file>